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Информация о деятельности административных комиссий муниципальных образований Томской области</w:t>
      </w:r>
      <w:r>
        <w:rPr>
          <w:rFonts w:ascii="PT Astra Serif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b/>
          <w:sz w:val="28"/>
          <w:szCs w:val="28"/>
        </w:rPr>
        <w:t xml:space="preserve">за 1 квартал </w:t>
      </w:r>
      <w:r>
        <w:rPr>
          <w:rFonts w:ascii="PT Astra Serif" w:hAnsi="PT Astra Serif"/>
          <w:b/>
          <w:sz w:val="28"/>
          <w:szCs w:val="28"/>
        </w:rPr>
        <w:t xml:space="preserve">2026 года</w:t>
      </w: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ind w:firstLine="708"/>
        <w:jc w:val="both"/>
        <w:spacing w:after="0"/>
      </w:pPr>
      <w:r>
        <w:rPr>
          <w:rFonts w:ascii="PT Astra Serif" w:hAnsi="PT Astra Serif"/>
          <w:sz w:val="28"/>
          <w:szCs w:val="28"/>
          <w:highlight w:val="white"/>
        </w:rPr>
        <w:t xml:space="preserve">За </w:t>
      </w:r>
      <w:bookmarkStart w:id="0" w:name="_GoBack"/>
      <w:r>
        <w:rPr>
          <w:highlight w:val="white"/>
        </w:rPr>
      </w:r>
      <w:bookmarkEnd w:id="0"/>
      <w:r>
        <w:rPr>
          <w:rFonts w:ascii="PT Astra Serif" w:hAnsi="PT Astra Serif"/>
          <w:sz w:val="28"/>
          <w:szCs w:val="28"/>
          <w:highlight w:val="white"/>
        </w:rPr>
        <w:t xml:space="preserve">1 квартал </w:t>
      </w:r>
      <w:r>
        <w:rPr>
          <w:rFonts w:ascii="PT Astra Serif" w:hAnsi="PT Astra Serif"/>
          <w:sz w:val="28"/>
          <w:szCs w:val="28"/>
          <w:highlight w:val="white"/>
        </w:rPr>
        <w:t xml:space="preserve">2026 год</w:t>
      </w:r>
      <w:r>
        <w:rPr>
          <w:rFonts w:ascii="PT Astra Serif" w:hAnsi="PT Astra Serif"/>
          <w:sz w:val="28"/>
          <w:szCs w:val="28"/>
          <w:highlight w:val="white"/>
        </w:rPr>
        <w:t xml:space="preserve">а</w:t>
      </w:r>
      <w:r>
        <w:rPr>
          <w:rFonts w:ascii="PT Astra Serif" w:hAnsi="PT Astra Serif"/>
          <w:sz w:val="28"/>
          <w:szCs w:val="28"/>
        </w:rPr>
        <w:t xml:space="preserve"> на рассмотрение административных комиссий Томской области поступило 734</w:t>
      </w:r>
      <w:r>
        <w:rPr>
          <w:rFonts w:ascii="PT Astra Serif" w:hAnsi="PT Astra Serif"/>
          <w:sz w:val="28"/>
          <w:szCs w:val="28"/>
        </w:rPr>
        <w:t xml:space="preserve"> протокола, рассмотрено 705</w:t>
      </w:r>
      <w:r>
        <w:rPr>
          <w:rFonts w:ascii="PT Astra Serif" w:hAnsi="PT Astra Serif"/>
          <w:sz w:val="28"/>
          <w:szCs w:val="28"/>
        </w:rPr>
        <w:t xml:space="preserve"> протоколов</w:t>
      </w:r>
      <w:r>
        <w:rPr>
          <w:rFonts w:ascii="PT Astra Serif" w:hAnsi="PT Astra Serif"/>
          <w:sz w:val="28"/>
          <w:szCs w:val="28"/>
        </w:rPr>
        <w:t xml:space="preserve"> (96 %).</w:t>
      </w:r>
      <w:r/>
    </w:p>
    <w:p>
      <w:pPr>
        <w:jc w:val="both"/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По рассмотренным протоколам: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848"/>
        <w:numPr>
          <w:ilvl w:val="0"/>
          <w:numId w:val="3"/>
        </w:numPr>
        <w:ind w:left="709" w:firstLine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660 правонарушителям вынесены постановления о назначении административного наказания;                  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848"/>
        <w:numPr>
          <w:ilvl w:val="0"/>
          <w:numId w:val="3"/>
        </w:numPr>
        <w:ind w:left="709" w:firstLine="0"/>
        <w:jc w:val="both"/>
        <w:spacing w:after="0" w:afterAutospac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по 40</w:t>
      </w:r>
      <w:r>
        <w:rPr>
          <w:rFonts w:ascii="PT Astra Serif" w:hAnsi="PT Astra Serif"/>
          <w:sz w:val="28"/>
          <w:szCs w:val="28"/>
        </w:rPr>
        <w:t xml:space="preserve"> делам об административных правонарушениях приняты решения о прекращении производства, в том числе</w:t>
      </w:r>
      <w:r>
        <w:rPr>
          <w:rFonts w:ascii="PT Astra Serif" w:hAnsi="PT Astra Serif"/>
          <w:sz w:val="28"/>
          <w:szCs w:val="28"/>
        </w:rPr>
        <w:t xml:space="preserve">:</w:t>
      </w:r>
      <w:r>
        <w:rPr>
          <w:rFonts w:ascii="PT Astra Serif" w:hAnsi="PT Astra Serif"/>
          <w:sz w:val="28"/>
          <w:szCs w:val="28"/>
        </w:rPr>
        <w:t xml:space="preserve"> 5 – по ст. 2.9 КоАП РФ, 35</w:t>
      </w:r>
      <w:r>
        <w:rPr>
          <w:rFonts w:ascii="PT Astra Serif" w:hAnsi="PT Astra Serif"/>
          <w:sz w:val="28"/>
          <w:szCs w:val="28"/>
        </w:rPr>
        <w:t xml:space="preserve"> – по статье 24.5 КоАП РФ.    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ind w:firstLine="709"/>
        <w:jc w:val="both"/>
        <w:spacing w:after="0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</w:rPr>
        <w:t xml:space="preserve">43 </w:t>
      </w:r>
      <w:r>
        <w:rPr>
          <w:rFonts w:ascii="PT Astra Serif" w:hAnsi="PT Astra Serif"/>
          <w:sz w:val="28"/>
          <w:szCs w:val="28"/>
        </w:rPr>
        <w:t xml:space="preserve">% от всех поступивших в административные комиссии муниципальных образований Томской области протоколов </w:t>
      </w:r>
      <w:r>
        <w:rPr>
          <w:rFonts w:ascii="PT Astra Serif" w:hAnsi="PT Astra Serif"/>
          <w:sz w:val="28"/>
          <w:szCs w:val="28"/>
        </w:rPr>
        <w:t xml:space="preserve">приходится на </w:t>
      </w:r>
      <w:r>
        <w:rPr>
          <w:rFonts w:ascii="PT Astra Serif" w:hAnsi="PT Astra Serif"/>
          <w:sz w:val="28"/>
          <w:szCs w:val="28"/>
        </w:rPr>
        <w:t xml:space="preserve">административные комиссии </w:t>
      </w:r>
      <w:r>
        <w:rPr>
          <w:rFonts w:ascii="PT Astra Serif" w:hAnsi="PT Astra Serif"/>
          <w:sz w:val="28"/>
          <w:szCs w:val="28"/>
        </w:rPr>
        <w:t xml:space="preserve">Города Томска</w:t>
      </w:r>
      <w:r>
        <w:rPr>
          <w:rFonts w:ascii="PT Astra Serif" w:hAnsi="PT Astra Serif"/>
          <w:sz w:val="28"/>
          <w:szCs w:val="28"/>
        </w:rPr>
        <w:t xml:space="preserve"> (313</w:t>
      </w:r>
      <w:r>
        <w:rPr>
          <w:rFonts w:ascii="PT Astra Serif" w:hAnsi="PT Astra Serif"/>
          <w:sz w:val="28"/>
          <w:szCs w:val="28"/>
        </w:rPr>
        <w:t xml:space="preserve"> протоколов</w:t>
      </w:r>
      <w:r>
        <w:rPr>
          <w:rFonts w:ascii="PT Astra Serif" w:hAnsi="PT Astra Serif"/>
          <w:sz w:val="28"/>
          <w:szCs w:val="28"/>
        </w:rPr>
        <w:t xml:space="preserve">).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ind w:firstLine="709"/>
        <w:jc w:val="both"/>
        <w:spacing w:after="0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</w:rPr>
        <w:t xml:space="preserve">Д</w:t>
      </w:r>
      <w:r>
        <w:rPr>
          <w:rFonts w:ascii="PT Astra Serif" w:hAnsi="PT Astra Serif"/>
          <w:sz w:val="28"/>
          <w:szCs w:val="28"/>
        </w:rPr>
        <w:t xml:space="preserve">оля</w:t>
      </w:r>
      <w:r>
        <w:rPr>
          <w:rFonts w:ascii="PT Astra Serif" w:hAnsi="PT Astra Serif"/>
          <w:sz w:val="28"/>
          <w:szCs w:val="28"/>
        </w:rPr>
        <w:t xml:space="preserve"> муниципальных районов Томской области </w:t>
      </w:r>
      <w:r>
        <w:rPr>
          <w:rFonts w:ascii="PT Astra Serif" w:hAnsi="PT Astra Serif"/>
          <w:sz w:val="28"/>
          <w:szCs w:val="28"/>
        </w:rPr>
        <w:t xml:space="preserve">составила</w:t>
      </w:r>
      <w:r>
        <w:rPr>
          <w:rFonts w:ascii="PT Astra Serif" w:hAnsi="PT Astra Serif"/>
          <w:sz w:val="28"/>
          <w:szCs w:val="28"/>
        </w:rPr>
        <w:t xml:space="preserve"> 36</w:t>
      </w:r>
      <w:r>
        <w:rPr>
          <w:rFonts w:ascii="PT Astra Serif" w:hAnsi="PT Astra Serif"/>
          <w:sz w:val="28"/>
          <w:szCs w:val="28"/>
        </w:rPr>
        <w:t xml:space="preserve"> % от </w:t>
      </w:r>
      <w:r>
        <w:rPr>
          <w:rFonts w:ascii="PT Astra Serif" w:hAnsi="PT Astra Serif"/>
          <w:sz w:val="28"/>
          <w:szCs w:val="28"/>
        </w:rPr>
        <w:t xml:space="preserve">общего числа поступивших в административные комиссии муниципальных образов</w:t>
      </w:r>
      <w:r>
        <w:rPr>
          <w:rFonts w:ascii="PT Astra Serif" w:hAnsi="PT Astra Serif"/>
          <w:sz w:val="28"/>
          <w:szCs w:val="28"/>
        </w:rPr>
        <w:t xml:space="preserve">аний Томской области протоколов</w:t>
      </w:r>
      <w:r>
        <w:rPr>
          <w:rFonts w:ascii="PT Astra Serif" w:hAnsi="PT Astra Serif"/>
          <w:sz w:val="28"/>
          <w:szCs w:val="28"/>
        </w:rPr>
        <w:t xml:space="preserve">. В</w:t>
      </w:r>
      <w:r>
        <w:rPr>
          <w:rFonts w:ascii="PT Astra Serif" w:hAnsi="PT Astra Serif"/>
          <w:sz w:val="28"/>
          <w:szCs w:val="28"/>
        </w:rPr>
        <w:t xml:space="preserve"> административные комиссии </w:t>
      </w:r>
      <w:r>
        <w:rPr>
          <w:rFonts w:ascii="PT Astra Serif" w:hAnsi="PT Astra Serif"/>
          <w:sz w:val="28"/>
          <w:szCs w:val="28"/>
        </w:rPr>
        <w:t xml:space="preserve">городских </w:t>
      </w:r>
      <w:r>
        <w:rPr>
          <w:rFonts w:ascii="PT Astra Serif" w:hAnsi="PT Astra Serif"/>
          <w:sz w:val="28"/>
          <w:szCs w:val="28"/>
        </w:rPr>
        <w:t xml:space="preserve">округов и муниципального округа Томской области (Стрежевой, </w:t>
      </w:r>
      <w:r>
        <w:rPr>
          <w:rFonts w:ascii="PT Astra Serif" w:hAnsi="PT Astra Serif"/>
          <w:sz w:val="28"/>
          <w:szCs w:val="28"/>
        </w:rPr>
        <w:t xml:space="preserve">Кедровый, </w:t>
      </w:r>
      <w:r>
        <w:rPr>
          <w:rFonts w:ascii="PT Astra Serif" w:hAnsi="PT Astra Serif"/>
          <w:sz w:val="28"/>
          <w:szCs w:val="28"/>
        </w:rPr>
        <w:t xml:space="preserve">ЗАТО Северск, Томск) </w:t>
      </w:r>
      <w:r>
        <w:rPr>
          <w:rFonts w:ascii="PT Astra Serif" w:hAnsi="PT Astra Serif"/>
          <w:sz w:val="28"/>
          <w:szCs w:val="28"/>
        </w:rPr>
        <w:t xml:space="preserve">направлено</w:t>
      </w:r>
      <w:r>
        <w:rPr>
          <w:rFonts w:ascii="PT Astra Serif" w:hAnsi="PT Astra Serif"/>
          <w:sz w:val="28"/>
          <w:szCs w:val="28"/>
        </w:rPr>
        <w:t xml:space="preserve"> 64</w:t>
      </w:r>
      <w:r>
        <w:rPr>
          <w:rFonts w:ascii="PT Astra Serif" w:hAnsi="PT Astra Serif"/>
          <w:sz w:val="28"/>
          <w:szCs w:val="28"/>
        </w:rPr>
        <w:t xml:space="preserve"> % протоколов.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ind w:firstLine="709"/>
        <w:jc w:val="both"/>
        <w:spacing w:after="0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</w:rPr>
        <w:t xml:space="preserve">Рассмотренные административные материалы охватывают </w:t>
      </w:r>
      <w:r>
        <w:rPr>
          <w:rFonts w:ascii="PT Astra Serif" w:hAnsi="PT Astra Serif"/>
          <w:sz w:val="28"/>
          <w:szCs w:val="28"/>
        </w:rPr>
        <w:t xml:space="preserve">следующие ст</w:t>
      </w:r>
      <w:r>
        <w:rPr>
          <w:rFonts w:ascii="PT Astra Serif" w:hAnsi="PT Astra Serif"/>
          <w:sz w:val="28"/>
          <w:szCs w:val="28"/>
        </w:rPr>
        <w:t xml:space="preserve">атьи Кодекса Томской области об </w:t>
      </w:r>
      <w:r>
        <w:rPr>
          <w:rFonts w:ascii="PT Astra Serif" w:hAnsi="PT Astra Serif"/>
          <w:sz w:val="28"/>
          <w:szCs w:val="28"/>
        </w:rPr>
        <w:t xml:space="preserve">административных правонарушениях (</w:t>
      </w:r>
      <w:r>
        <w:rPr>
          <w:rFonts w:ascii="PT Astra Serif" w:hAnsi="PT Astra Serif"/>
          <w:sz w:val="28"/>
          <w:szCs w:val="28"/>
        </w:rPr>
        <w:t xml:space="preserve">далее - </w:t>
      </w:r>
      <w:r>
        <w:rPr>
          <w:rFonts w:ascii="PT Astra Serif" w:hAnsi="PT Astra Serif"/>
          <w:sz w:val="28"/>
          <w:szCs w:val="28"/>
        </w:rPr>
        <w:t xml:space="preserve">КТоАП</w:t>
      </w:r>
      <w:r>
        <w:rPr>
          <w:rFonts w:ascii="PT Astra Serif" w:hAnsi="PT Astra Serif"/>
          <w:sz w:val="28"/>
          <w:szCs w:val="28"/>
        </w:rPr>
        <w:t xml:space="preserve">)</w:t>
      </w:r>
      <w:r>
        <w:rPr>
          <w:rFonts w:ascii="PT Astra Serif" w:hAnsi="PT Astra Serif"/>
          <w:sz w:val="28"/>
          <w:szCs w:val="28"/>
        </w:rPr>
        <w:t xml:space="preserve">: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848"/>
        <w:numPr>
          <w:ilvl w:val="0"/>
          <w:numId w:val="2"/>
        </w:numPr>
        <w:ind w:left="709" w:hanging="709"/>
        <w:jc w:val="both"/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статья 3.19 ч. 1, 2 </w:t>
      </w:r>
      <w:r>
        <w:rPr>
          <w:rFonts w:ascii="PT Astra Serif" w:hAnsi="PT Astra Serif"/>
          <w:sz w:val="28"/>
          <w:szCs w:val="28"/>
        </w:rPr>
        <w:t xml:space="preserve">КТоАП</w:t>
      </w:r>
      <w:r>
        <w:rPr>
          <w:rFonts w:ascii="PT Astra Serif" w:hAnsi="PT Astra Serif"/>
          <w:sz w:val="28"/>
          <w:szCs w:val="28"/>
        </w:rPr>
        <w:t xml:space="preserve"> «Нарушение пр</w:t>
      </w:r>
      <w:r>
        <w:rPr>
          <w:rFonts w:ascii="PT Astra Serif" w:hAnsi="PT Astra Serif"/>
          <w:sz w:val="28"/>
          <w:szCs w:val="28"/>
        </w:rPr>
        <w:t xml:space="preserve">ава граждан на отдых» - 590</w:t>
      </w:r>
      <w:r>
        <w:rPr>
          <w:rFonts w:ascii="PT Astra Serif" w:hAnsi="PT Astra Serif"/>
          <w:sz w:val="28"/>
          <w:szCs w:val="28"/>
        </w:rPr>
        <w:t xml:space="preserve"> </w:t>
      </w:r>
      <w:r>
        <w:rPr>
          <w:rFonts w:ascii="PT Astra Serif" w:hAnsi="PT Astra Serif"/>
          <w:sz w:val="28"/>
          <w:szCs w:val="28"/>
        </w:rPr>
        <w:t xml:space="preserve">дел</w:t>
      </w:r>
      <w:r>
        <w:rPr>
          <w:rFonts w:ascii="PT Astra Serif" w:hAnsi="PT Astra Serif"/>
          <w:sz w:val="28"/>
          <w:szCs w:val="28"/>
        </w:rPr>
        <w:t xml:space="preserve"> (84</w:t>
      </w:r>
      <w:r>
        <w:rPr>
          <w:rFonts w:ascii="PT Astra Serif" w:hAnsi="PT Astra Serif"/>
          <w:sz w:val="28"/>
          <w:szCs w:val="28"/>
        </w:rPr>
        <w:t xml:space="preserve"> %</w:t>
      </w:r>
      <w:r>
        <w:rPr>
          <w:rFonts w:ascii="PT Astra Serif" w:hAnsi="PT Astra Serif"/>
          <w:sz w:val="28"/>
          <w:szCs w:val="28"/>
        </w:rPr>
        <w:t xml:space="preserve"> от </w:t>
      </w:r>
      <w:r>
        <w:rPr>
          <w:rFonts w:ascii="PT Astra Serif" w:hAnsi="PT Astra Serif"/>
          <w:sz w:val="28"/>
          <w:szCs w:val="28"/>
        </w:rPr>
        <w:t xml:space="preserve">рассмотренных);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848"/>
        <w:numPr>
          <w:ilvl w:val="0"/>
          <w:numId w:val="2"/>
        </w:numPr>
        <w:ind w:left="709" w:hanging="709"/>
        <w:jc w:val="both"/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Arial"/>
          <w:bCs/>
          <w:sz w:val="28"/>
          <w:szCs w:val="28"/>
        </w:rPr>
        <w:t xml:space="preserve">статья 5.2 ч. 1, 2 </w:t>
      </w:r>
      <w:r>
        <w:rPr>
          <w:rFonts w:ascii="PT Astra Serif" w:hAnsi="PT Astra Serif" w:cs="Arial"/>
          <w:bCs/>
          <w:sz w:val="28"/>
          <w:szCs w:val="28"/>
        </w:rPr>
        <w:t xml:space="preserve">КТоАП</w:t>
      </w:r>
      <w:r>
        <w:rPr>
          <w:rFonts w:ascii="PT Astra Serif" w:hAnsi="PT Astra Serif" w:cs="Arial"/>
          <w:bCs/>
          <w:sz w:val="28"/>
          <w:szCs w:val="28"/>
        </w:rPr>
        <w:t xml:space="preserve"> «Допущение нахождения животного вне места содержания без сопровождения владельца либо в неустановленных местах</w:t>
      </w:r>
      <w:r>
        <w:rPr>
          <w:rFonts w:ascii="PT Astra Serif" w:hAnsi="PT Astra Serif" w:cs="Arial"/>
          <w:bCs/>
          <w:sz w:val="28"/>
          <w:szCs w:val="28"/>
        </w:rPr>
        <w:t xml:space="preserve">» в части д</w:t>
      </w:r>
      <w:r>
        <w:rPr>
          <w:rFonts w:ascii="PT Astra Serif" w:hAnsi="PT Astra Serif" w:eastAsia="Times New Roman" w:cs="Times New Roman"/>
          <w:sz w:val="28"/>
          <w:szCs w:val="28"/>
          <w:lang w:eastAsia="ru-RU"/>
        </w:rPr>
        <w:t xml:space="preserve">опущения</w:t>
      </w:r>
      <w:r>
        <w:rPr>
          <w:rFonts w:ascii="PT Astra Serif" w:hAnsi="PT Astra Serif" w:eastAsia="Times New Roman" w:cs="Times New Roman"/>
          <w:sz w:val="28"/>
          <w:szCs w:val="28"/>
          <w:lang w:eastAsia="ru-RU"/>
        </w:rPr>
        <w:t xml:space="preserve"> нахождения собаки вне места ее содержа</w:t>
      </w:r>
      <w:r>
        <w:rPr>
          <w:rFonts w:ascii="PT Astra Serif" w:hAnsi="PT Astra Serif" w:eastAsia="Times New Roman" w:cs="Times New Roman"/>
          <w:sz w:val="28"/>
          <w:szCs w:val="28"/>
          <w:lang w:eastAsia="ru-RU"/>
        </w:rPr>
        <w:t xml:space="preserve">ния без </w:t>
      </w:r>
      <w:r>
        <w:rPr>
          <w:rFonts w:ascii="PT Astra Serif" w:hAnsi="PT Astra Serif" w:eastAsia="Times New Roman" w:cs="Times New Roman"/>
          <w:sz w:val="28"/>
          <w:szCs w:val="28"/>
          <w:lang w:eastAsia="ru-RU"/>
        </w:rPr>
        <w:t xml:space="preserve">сопровождения владельца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- 30</w:t>
      </w:r>
      <w:r>
        <w:rPr>
          <w:rFonts w:ascii="PT Astra Serif" w:hAnsi="PT Astra Serif"/>
          <w:sz w:val="28"/>
          <w:szCs w:val="28"/>
        </w:rPr>
        <w:t xml:space="preserve"> дел</w:t>
      </w:r>
      <w:r>
        <w:rPr>
          <w:rFonts w:ascii="PT Astra Serif" w:hAnsi="PT Astra Serif"/>
          <w:sz w:val="28"/>
          <w:szCs w:val="28"/>
        </w:rPr>
        <w:t xml:space="preserve"> (4</w:t>
      </w:r>
      <w:r>
        <w:rPr>
          <w:rFonts w:ascii="PT Astra Serif" w:hAnsi="PT Astra Serif"/>
          <w:sz w:val="28"/>
          <w:szCs w:val="28"/>
        </w:rPr>
        <w:t xml:space="preserve"> % от рассмотренных);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848"/>
        <w:numPr>
          <w:ilvl w:val="0"/>
          <w:numId w:val="2"/>
        </w:numPr>
        <w:ind w:left="709" w:hanging="709"/>
        <w:jc w:val="both"/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Arial"/>
          <w:bCs/>
          <w:sz w:val="28"/>
          <w:szCs w:val="28"/>
        </w:rPr>
        <w:t xml:space="preserve">статья 5.2 ч. 3, 4 </w:t>
      </w:r>
      <w:r>
        <w:rPr>
          <w:rFonts w:ascii="PT Astra Serif" w:hAnsi="PT Astra Serif" w:cs="Arial"/>
          <w:bCs/>
          <w:sz w:val="28"/>
          <w:szCs w:val="28"/>
        </w:rPr>
        <w:t xml:space="preserve">КТоАП</w:t>
      </w:r>
      <w:r>
        <w:rPr>
          <w:rFonts w:ascii="PT Astra Serif" w:hAnsi="PT Astra Serif" w:cs="Arial"/>
          <w:bCs/>
          <w:sz w:val="28"/>
          <w:szCs w:val="28"/>
        </w:rPr>
        <w:t xml:space="preserve"> «Допущение нахождения животного вне места содержания без сопровождения владельца либо в неустановленных местах» в части </w:t>
      </w:r>
      <w:r>
        <w:rPr>
          <w:rFonts w:ascii="PT Astra Serif" w:hAnsi="PT Astra Serif" w:eastAsia="Times New Roman" w:cs="Times New Roman"/>
          <w:sz w:val="28"/>
          <w:szCs w:val="28"/>
          <w:lang w:eastAsia="ru-RU"/>
        </w:rPr>
        <w:t xml:space="preserve">допущения владельцами крупного рогатого скота (быков, коров), мелкого рогатого скота (коз, овец), лошадей нахождения </w:t>
      </w:r>
      <w:r>
        <w:rPr>
          <w:rFonts w:ascii="PT Astra Serif" w:hAnsi="PT Astra Serif" w:eastAsia="Times New Roman" w:cs="Times New Roman"/>
          <w:sz w:val="28"/>
          <w:szCs w:val="28"/>
          <w:lang w:eastAsia="ru-RU"/>
        </w:rPr>
        <w:t xml:space="preserve">указанных животных в не установленных органами местного самоуправления местах </w:t>
      </w:r>
      <w:r>
        <w:rPr>
          <w:rFonts w:ascii="PT Astra Serif" w:hAnsi="PT Astra Serif"/>
          <w:sz w:val="28"/>
          <w:szCs w:val="28"/>
        </w:rPr>
        <w:t xml:space="preserve">- 2</w:t>
      </w:r>
      <w:r>
        <w:rPr>
          <w:rFonts w:ascii="PT Astra Serif" w:hAnsi="PT Astra Serif"/>
          <w:sz w:val="28"/>
          <w:szCs w:val="28"/>
        </w:rPr>
        <w:t xml:space="preserve"> дела (0,3 </w:t>
      </w:r>
      <w:r>
        <w:rPr>
          <w:rFonts w:ascii="PT Astra Serif" w:hAnsi="PT Astra Serif"/>
          <w:sz w:val="28"/>
          <w:szCs w:val="28"/>
        </w:rPr>
        <w:t xml:space="preserve">% от рассмотренных);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848"/>
        <w:numPr>
          <w:ilvl w:val="0"/>
          <w:numId w:val="2"/>
        </w:numPr>
        <w:ind w:left="709" w:hanging="709"/>
        <w:jc w:val="both"/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статья 8.1 ч. 1 </w:t>
      </w:r>
      <w:r>
        <w:rPr>
          <w:rFonts w:ascii="PT Astra Serif" w:hAnsi="PT Astra Serif"/>
          <w:sz w:val="28"/>
          <w:szCs w:val="28"/>
        </w:rPr>
        <w:t xml:space="preserve">КТоАП</w:t>
      </w:r>
      <w:r>
        <w:rPr>
          <w:rFonts w:ascii="PT Astra Serif" w:hAnsi="PT Astra Serif"/>
          <w:sz w:val="28"/>
          <w:szCs w:val="28"/>
        </w:rPr>
        <w:t xml:space="preserve"> «</w:t>
      </w:r>
      <w:r>
        <w:rPr>
          <w:rFonts w:ascii="PT Astra Serif" w:hAnsi="PT Astra Serif" w:cs="Arial"/>
          <w:bCs/>
          <w:sz w:val="28"/>
          <w:szCs w:val="28"/>
        </w:rPr>
        <w:t xml:space="preserve">Нарушение требований к внешнему виду фасадов и ограждающих конструкций зданий, строений, сооружений, а также правил размещения временных объектов на территории муниципального образования</w:t>
      </w:r>
      <w:r>
        <w:rPr>
          <w:rFonts w:ascii="PT Astra Serif" w:hAnsi="PT Astra Serif"/>
          <w:sz w:val="28"/>
          <w:szCs w:val="28"/>
        </w:rPr>
        <w:t xml:space="preserve">» </w:t>
      </w:r>
      <w:r>
        <w:rPr>
          <w:rFonts w:ascii="PT Astra Serif" w:hAnsi="PT Astra Serif"/>
          <w:sz w:val="28"/>
          <w:szCs w:val="28"/>
        </w:rPr>
        <w:t xml:space="preserve">- 1</w:t>
      </w:r>
      <w:r>
        <w:rPr>
          <w:rFonts w:ascii="PT Astra Serif" w:hAnsi="PT Astra Serif"/>
          <w:sz w:val="28"/>
          <w:szCs w:val="28"/>
        </w:rPr>
        <w:t xml:space="preserve"> дело (0,14</w:t>
      </w:r>
      <w:r>
        <w:rPr>
          <w:rFonts w:ascii="PT Astra Serif" w:hAnsi="PT Astra Serif"/>
          <w:sz w:val="28"/>
          <w:szCs w:val="28"/>
        </w:rPr>
        <w:t xml:space="preserve"> % от рассмотренных);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848"/>
        <w:numPr>
          <w:ilvl w:val="0"/>
          <w:numId w:val="2"/>
        </w:numPr>
        <w:ind w:left="709" w:hanging="709"/>
        <w:jc w:val="both"/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статья 8.10 ч. 1.1 </w:t>
      </w:r>
      <w:r>
        <w:rPr>
          <w:rFonts w:ascii="PT Astra Serif" w:hAnsi="PT Astra Serif"/>
          <w:sz w:val="28"/>
          <w:szCs w:val="28"/>
        </w:rPr>
        <w:t xml:space="preserve">КТоАП</w:t>
      </w:r>
      <w:r>
        <w:rPr>
          <w:rFonts w:ascii="PT Astra Serif" w:hAnsi="PT Astra Serif"/>
          <w:sz w:val="28"/>
          <w:szCs w:val="28"/>
        </w:rPr>
        <w:t xml:space="preserve"> «Нарушение правил благоустройства территорий» в части нарушения установленных органами местного самоуправления правил благоустройства территорий в части требований к содержанию зданий (включая жилы</w:t>
      </w:r>
      <w:r>
        <w:rPr>
          <w:rFonts w:ascii="PT Astra Serif" w:hAnsi="PT Astra Serif"/>
          <w:sz w:val="28"/>
          <w:szCs w:val="28"/>
        </w:rPr>
        <w:t xml:space="preserve">е дома), строений, сооружений и </w:t>
      </w:r>
      <w:r>
        <w:rPr>
          <w:rFonts w:ascii="PT Astra Serif" w:hAnsi="PT Astra Serif"/>
          <w:sz w:val="28"/>
          <w:szCs w:val="28"/>
        </w:rPr>
        <w:t xml:space="preserve">земельных </w:t>
      </w:r>
      <w:r>
        <w:rPr>
          <w:rFonts w:ascii="PT Astra Serif" w:hAnsi="PT Astra Serif"/>
          <w:sz w:val="28"/>
          <w:szCs w:val="28"/>
        </w:rPr>
        <w:t xml:space="preserve">участков, н</w:t>
      </w:r>
      <w:r>
        <w:rPr>
          <w:rFonts w:ascii="PT Astra Serif" w:hAnsi="PT Astra Serif"/>
          <w:sz w:val="28"/>
          <w:szCs w:val="28"/>
        </w:rPr>
        <w:t xml:space="preserve">а которых они расположены, либо </w:t>
      </w:r>
      <w:r>
        <w:rPr>
          <w:rFonts w:ascii="PT Astra Serif" w:hAnsi="PT Astra Serif"/>
          <w:sz w:val="28"/>
          <w:szCs w:val="28"/>
        </w:rPr>
        <w:t xml:space="preserve">невыполнение предусмотренного указанными правилами перечня работ по благоустройству территории муниципального образования - 31 </w:t>
      </w:r>
      <w:r>
        <w:rPr>
          <w:rFonts w:ascii="PT Astra Serif" w:hAnsi="PT Astra Serif"/>
          <w:sz w:val="28"/>
          <w:szCs w:val="28"/>
        </w:rPr>
        <w:t xml:space="preserve">дело (4</w:t>
      </w:r>
      <w:r>
        <w:rPr>
          <w:rFonts w:ascii="PT Astra Serif" w:hAnsi="PT Astra Serif"/>
          <w:sz w:val="28"/>
          <w:szCs w:val="28"/>
        </w:rPr>
        <w:t xml:space="preserve"> </w:t>
      </w:r>
      <w:r>
        <w:rPr>
          <w:rFonts w:ascii="PT Astra Serif" w:hAnsi="PT Astra Serif"/>
          <w:sz w:val="28"/>
          <w:szCs w:val="28"/>
        </w:rPr>
        <w:t xml:space="preserve">% от рассмотренных);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848"/>
        <w:numPr>
          <w:ilvl w:val="0"/>
          <w:numId w:val="2"/>
        </w:numPr>
        <w:ind w:left="709" w:hanging="709"/>
        <w:jc w:val="both"/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статья 8.10 ч. 2 </w:t>
      </w:r>
      <w:r>
        <w:rPr>
          <w:rFonts w:ascii="PT Astra Serif" w:hAnsi="PT Astra Serif"/>
          <w:sz w:val="28"/>
          <w:szCs w:val="28"/>
        </w:rPr>
        <w:t xml:space="preserve">КТоАП</w:t>
      </w:r>
      <w:r>
        <w:rPr>
          <w:rFonts w:ascii="PT Astra Serif" w:hAnsi="PT Astra Serif"/>
          <w:sz w:val="28"/>
          <w:szCs w:val="28"/>
        </w:rPr>
        <w:t xml:space="preserve"> «Нарушение </w:t>
      </w:r>
      <w:r>
        <w:rPr>
          <w:rFonts w:ascii="PT Astra Serif" w:hAnsi="PT Astra Serif"/>
          <w:sz w:val="28"/>
          <w:szCs w:val="28"/>
        </w:rPr>
        <w:t xml:space="preserve">правил благоустройства территорий» в части нарушения установленных органами местного самоуправления правил благоустройства территорий в части проведения земляных работ при строительстве, реконструкции и ремонте инженерных коммуникаций и других сооружений -</w:t>
      </w:r>
      <w:r>
        <w:rPr>
          <w:rFonts w:ascii="PT Astra Serif" w:hAnsi="PT Astra Serif"/>
          <w:sz w:val="28"/>
          <w:szCs w:val="28"/>
        </w:rPr>
        <w:t xml:space="preserve"> 1</w:t>
      </w:r>
      <w:r>
        <w:rPr>
          <w:rFonts w:ascii="PT Astra Serif" w:hAnsi="PT Astra Serif"/>
          <w:sz w:val="28"/>
          <w:szCs w:val="28"/>
        </w:rPr>
        <w:t xml:space="preserve"> дело</w:t>
      </w:r>
      <w:r>
        <w:rPr>
          <w:rFonts w:ascii="PT Astra Serif" w:hAnsi="PT Astra Serif"/>
          <w:sz w:val="28"/>
          <w:szCs w:val="28"/>
        </w:rPr>
        <w:t xml:space="preserve"> (0,14</w:t>
      </w:r>
      <w:r>
        <w:rPr>
          <w:rFonts w:ascii="PT Astra Serif" w:hAnsi="PT Astra Serif"/>
          <w:sz w:val="28"/>
          <w:szCs w:val="28"/>
        </w:rPr>
        <w:t xml:space="preserve"> % от рассмотренных);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848"/>
        <w:numPr>
          <w:ilvl w:val="0"/>
          <w:numId w:val="2"/>
        </w:numPr>
        <w:ind w:left="709" w:hanging="709"/>
        <w:jc w:val="both"/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статья 8.10 ч. 3 </w:t>
      </w:r>
      <w:r>
        <w:rPr>
          <w:rFonts w:ascii="PT Astra Serif" w:hAnsi="PT Astra Serif"/>
          <w:sz w:val="28"/>
          <w:szCs w:val="28"/>
        </w:rPr>
        <w:t xml:space="preserve">КТоАП</w:t>
      </w:r>
      <w:r>
        <w:rPr>
          <w:rFonts w:ascii="PT Astra Serif" w:hAnsi="PT Astra Serif"/>
          <w:sz w:val="28"/>
          <w:szCs w:val="28"/>
        </w:rPr>
        <w:t xml:space="preserve"> «Нарушение правил благоустройства территорий» в части нарушения установленных органами местного самоуправления правил благоустройства территорий в части размещения </w:t>
      </w:r>
      <w:r>
        <w:rPr>
          <w:rFonts w:ascii="PT Astra Serif" w:hAnsi="PT Astra Serif"/>
          <w:sz w:val="28"/>
          <w:szCs w:val="28"/>
        </w:rPr>
        <w:t xml:space="preserve">объявлений и иной информации в неустановленных местах, установки указателей с наименованиями улиц и номерами домов, вывесок, а также нанесения рисунков и надписей на здания, строения, сооружения, инженерные коммуникации, друг</w:t>
      </w:r>
      <w:r>
        <w:rPr>
          <w:rFonts w:ascii="PT Astra Serif" w:hAnsi="PT Astra Serif"/>
          <w:sz w:val="28"/>
          <w:szCs w:val="28"/>
        </w:rPr>
        <w:t xml:space="preserve">ие элементы благоустройства - 39 дел (6</w:t>
      </w:r>
      <w:r>
        <w:rPr>
          <w:rFonts w:ascii="PT Astra Serif" w:hAnsi="PT Astra Serif"/>
          <w:sz w:val="28"/>
          <w:szCs w:val="28"/>
        </w:rPr>
        <w:t xml:space="preserve"> % от рассмотренных);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848"/>
        <w:numPr>
          <w:ilvl w:val="0"/>
          <w:numId w:val="2"/>
        </w:numPr>
        <w:ind w:left="709" w:hanging="709"/>
        <w:jc w:val="both"/>
        <w:spacing w:after="0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статья 8.10.1 ч. 1, 2 </w:t>
      </w:r>
      <w:r>
        <w:rPr>
          <w:rFonts w:ascii="PT Astra Serif" w:hAnsi="PT Astra Serif"/>
          <w:sz w:val="28"/>
          <w:szCs w:val="28"/>
        </w:rPr>
        <w:t xml:space="preserve">КТоАП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 w:cs="Arial"/>
          <w:bCs/>
          <w:sz w:val="28"/>
          <w:szCs w:val="28"/>
        </w:rPr>
        <w:t xml:space="preserve">«</w:t>
      </w:r>
      <w:r>
        <w:rPr>
          <w:rFonts w:ascii="PT Astra Serif" w:hAnsi="PT Astra Serif" w:eastAsia="Times New Roman" w:cs="Arial"/>
          <w:bCs/>
          <w:sz w:val="28"/>
          <w:szCs w:val="28"/>
          <w:lang w:eastAsia="ru-RU"/>
        </w:rPr>
        <w:t xml:space="preserve">Разме</w:t>
      </w:r>
      <w:r>
        <w:rPr>
          <w:rFonts w:ascii="PT Astra Serif" w:hAnsi="PT Astra Serif" w:eastAsia="Times New Roman" w:cs="Arial"/>
          <w:bCs/>
          <w:sz w:val="28"/>
          <w:szCs w:val="28"/>
          <w:lang w:eastAsia="ru-RU"/>
        </w:rPr>
        <w:t xml:space="preserve">щение транспортного средства на </w:t>
      </w:r>
      <w:r>
        <w:rPr>
          <w:rFonts w:ascii="PT Astra Serif" w:hAnsi="PT Astra Serif" w:eastAsia="Times New Roman" w:cs="Arial"/>
          <w:bCs/>
          <w:sz w:val="28"/>
          <w:szCs w:val="28"/>
          <w:lang w:eastAsia="ru-RU"/>
        </w:rPr>
        <w:t xml:space="preserve">территории, </w:t>
      </w:r>
      <w:r>
        <w:rPr>
          <w:rFonts w:ascii="PT Astra Serif" w:hAnsi="PT Astra Serif" w:eastAsia="Times New Roman" w:cs="Arial"/>
          <w:bCs/>
          <w:sz w:val="28"/>
          <w:szCs w:val="28"/>
          <w:lang w:eastAsia="ru-RU"/>
        </w:rPr>
        <w:t xml:space="preserve">занятой газоном, цветником, детской, спортивной площадкой</w:t>
      </w:r>
      <w:r>
        <w:rPr>
          <w:rFonts w:ascii="PT Astra Serif" w:hAnsi="PT Astra Serif" w:cs="Times New Roman"/>
          <w:sz w:val="28"/>
          <w:szCs w:val="28"/>
        </w:rPr>
        <w:t xml:space="preserve">» - 7</w:t>
      </w:r>
      <w:r>
        <w:rPr>
          <w:rFonts w:ascii="PT Astra Serif" w:hAnsi="PT Astra Serif" w:cs="Times New Roman"/>
          <w:sz w:val="28"/>
          <w:szCs w:val="28"/>
        </w:rPr>
        <w:t xml:space="preserve"> дел (1</w:t>
      </w:r>
      <w:r>
        <w:rPr>
          <w:rFonts w:ascii="PT Astra Serif" w:hAnsi="PT Astra Serif" w:cs="Times New Roman"/>
          <w:sz w:val="28"/>
          <w:szCs w:val="28"/>
        </w:rPr>
        <w:t xml:space="preserve"> % от рассмотренных);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848"/>
        <w:numPr>
          <w:ilvl w:val="0"/>
          <w:numId w:val="2"/>
        </w:numPr>
        <w:ind w:left="709" w:hanging="709"/>
        <w:jc w:val="both"/>
        <w:spacing w:after="0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статья 11.1 </w:t>
      </w:r>
      <w:r>
        <w:rPr>
          <w:rFonts w:ascii="PT Astra Serif" w:hAnsi="PT Astra Serif" w:cs="Times New Roman"/>
          <w:sz w:val="28"/>
          <w:szCs w:val="28"/>
        </w:rPr>
        <w:t xml:space="preserve">КТоАП</w:t>
      </w:r>
      <w:r>
        <w:rPr>
          <w:rFonts w:ascii="PT Astra Serif" w:hAnsi="PT Astra Serif" w:cs="Times New Roman"/>
          <w:sz w:val="28"/>
          <w:szCs w:val="28"/>
        </w:rPr>
        <w:t xml:space="preserve"> «</w:t>
      </w:r>
      <w:r>
        <w:rPr>
          <w:rFonts w:ascii="PT Astra Serif" w:hAnsi="PT Astra Serif" w:cs="Arial"/>
          <w:bCs/>
          <w:sz w:val="28"/>
          <w:szCs w:val="28"/>
        </w:rPr>
        <w:t xml:space="preserve">Осуществление мелкорозничной торговли, оказание бытовых услуг либо </w:t>
      </w:r>
      <w:r>
        <w:rPr>
          <w:rFonts w:ascii="PT Astra Serif" w:hAnsi="PT Astra Serif" w:cs="Arial"/>
          <w:bCs/>
          <w:sz w:val="28"/>
          <w:szCs w:val="28"/>
        </w:rPr>
        <w:t xml:space="preserve">услуг общественного питания без </w:t>
      </w:r>
      <w:r>
        <w:rPr>
          <w:rFonts w:ascii="PT Astra Serif" w:hAnsi="PT Astra Serif" w:cs="Arial"/>
          <w:bCs/>
          <w:sz w:val="28"/>
          <w:szCs w:val="28"/>
        </w:rPr>
        <w:t xml:space="preserve">документов, подтверждающих право размещения нестационарного </w:t>
      </w:r>
      <w:r>
        <w:rPr>
          <w:rFonts w:ascii="PT Astra Serif" w:hAnsi="PT Astra Serif" w:cs="Arial"/>
          <w:bCs/>
          <w:sz w:val="28"/>
          <w:szCs w:val="28"/>
        </w:rPr>
        <w:t xml:space="preserve">объекта торговли и бытового обслуживания</w:t>
      </w:r>
      <w:r>
        <w:rPr>
          <w:rFonts w:ascii="PT Astra Serif" w:hAnsi="PT Astra Serif" w:cs="Times New Roman"/>
          <w:sz w:val="28"/>
          <w:szCs w:val="28"/>
        </w:rPr>
        <w:t xml:space="preserve">» - 2 дела (0,28</w:t>
      </w:r>
      <w:r>
        <w:rPr>
          <w:rFonts w:ascii="PT Astra Serif" w:hAnsi="PT Astra Serif" w:cs="Times New Roman"/>
          <w:sz w:val="28"/>
          <w:szCs w:val="28"/>
        </w:rPr>
        <w:t xml:space="preserve"> % от рассмотренных);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848"/>
        <w:numPr>
          <w:ilvl w:val="0"/>
          <w:numId w:val="2"/>
        </w:numPr>
        <w:ind w:left="709" w:hanging="709"/>
        <w:jc w:val="both"/>
        <w:spacing w:after="0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статья 11.5 </w:t>
      </w:r>
      <w:r>
        <w:rPr>
          <w:rFonts w:ascii="PT Astra Serif" w:hAnsi="PT Astra Serif" w:cs="Times New Roman"/>
          <w:sz w:val="28"/>
          <w:szCs w:val="28"/>
        </w:rPr>
        <w:t xml:space="preserve">КТоАП</w:t>
      </w:r>
      <w:r>
        <w:rPr>
          <w:rFonts w:ascii="PT Astra Serif" w:hAnsi="PT Astra Serif" w:cs="Times New Roman"/>
          <w:sz w:val="28"/>
          <w:szCs w:val="28"/>
        </w:rPr>
        <w:t xml:space="preserve"> «Торговля с р</w:t>
      </w:r>
      <w:r>
        <w:rPr>
          <w:rFonts w:ascii="PT Astra Serif" w:hAnsi="PT Astra Serif" w:cs="Times New Roman"/>
          <w:sz w:val="28"/>
          <w:szCs w:val="28"/>
        </w:rPr>
        <w:t xml:space="preserve">ук в неустановленных местах» - 1 дело (0,14</w:t>
      </w:r>
      <w:r>
        <w:rPr>
          <w:rFonts w:ascii="PT Astra Serif" w:hAnsi="PT Astra Serif" w:cs="Times New Roman"/>
          <w:sz w:val="28"/>
          <w:szCs w:val="28"/>
        </w:rPr>
        <w:t xml:space="preserve"> % от рассмотренных)</w:t>
      </w:r>
      <w:r>
        <w:rPr>
          <w:rFonts w:ascii="PT Astra Serif" w:hAnsi="PT Astra Serif" w:cs="Times New Roman"/>
          <w:sz w:val="28"/>
          <w:szCs w:val="28"/>
        </w:rPr>
        <w:t xml:space="preserve">.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ind w:firstLine="708"/>
        <w:jc w:val="both"/>
        <w:spacing w:after="0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</w:rPr>
        <w:t xml:space="preserve">По итогам 1 квартала </w:t>
      </w:r>
      <w:r>
        <w:rPr>
          <w:rFonts w:ascii="PT Astra Serif" w:hAnsi="PT Astra Serif" w:cs="Times New Roman"/>
          <w:sz w:val="28"/>
          <w:szCs w:val="28"/>
        </w:rPr>
        <w:t xml:space="preserve">2026</w:t>
      </w:r>
      <w:r>
        <w:rPr>
          <w:rFonts w:ascii="PT Astra Serif" w:hAnsi="PT Astra Serif" w:cs="Times New Roman"/>
          <w:sz w:val="28"/>
          <w:szCs w:val="28"/>
        </w:rPr>
        <w:t xml:space="preserve"> года вынесено</w:t>
      </w:r>
      <w:r>
        <w:rPr>
          <w:rFonts w:ascii="PT Astra Serif" w:hAnsi="PT Astra Serif" w:cs="Times New Roman"/>
          <w:sz w:val="28"/>
          <w:szCs w:val="28"/>
        </w:rPr>
        <w:t xml:space="preserve"> 240</w:t>
      </w:r>
      <w:r>
        <w:rPr>
          <w:rFonts w:ascii="PT Astra Serif" w:hAnsi="PT Astra Serif" w:cs="Times New Roman"/>
          <w:sz w:val="28"/>
          <w:szCs w:val="28"/>
        </w:rPr>
        <w:t xml:space="preserve"> предупреждений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(218</w:t>
      </w:r>
      <w:r>
        <w:rPr>
          <w:rFonts w:ascii="PT Astra Serif" w:hAnsi="PT Astra Serif" w:cs="Times New Roman"/>
          <w:sz w:val="28"/>
          <w:szCs w:val="28"/>
        </w:rPr>
        <w:t xml:space="preserve"> </w:t>
      </w:r>
      <w:r>
        <w:rPr>
          <w:rFonts w:ascii="PT Astra Serif" w:hAnsi="PT Astra Serif" w:cs="Times New Roman"/>
          <w:sz w:val="28"/>
          <w:szCs w:val="28"/>
        </w:rPr>
        <w:t xml:space="preserve">граждан</w:t>
      </w:r>
      <w:r>
        <w:rPr>
          <w:rFonts w:ascii="PT Astra Serif" w:hAnsi="PT Astra Serif" w:cs="Times New Roman"/>
          <w:sz w:val="28"/>
          <w:szCs w:val="28"/>
        </w:rPr>
        <w:t xml:space="preserve">ам</w:t>
      </w:r>
      <w:r>
        <w:rPr>
          <w:rFonts w:ascii="PT Astra Serif" w:hAnsi="PT Astra Serif" w:cs="Times New Roman"/>
          <w:sz w:val="28"/>
          <w:szCs w:val="28"/>
        </w:rPr>
        <w:t xml:space="preserve">, 7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должностн</w:t>
      </w:r>
      <w:r>
        <w:rPr>
          <w:rFonts w:ascii="PT Astra Serif" w:hAnsi="PT Astra Serif" w:cs="Times New Roman"/>
          <w:sz w:val="28"/>
          <w:szCs w:val="28"/>
        </w:rPr>
        <w:t xml:space="preserve">ым</w:t>
      </w:r>
      <w:r>
        <w:rPr>
          <w:rFonts w:ascii="PT Astra Serif" w:hAnsi="PT Astra Serif" w:cs="Times New Roman"/>
          <w:sz w:val="28"/>
          <w:szCs w:val="28"/>
        </w:rPr>
        <w:t xml:space="preserve"> лиц</w:t>
      </w:r>
      <w:r>
        <w:rPr>
          <w:rFonts w:ascii="PT Astra Serif" w:hAnsi="PT Astra Serif" w:cs="Times New Roman"/>
          <w:sz w:val="28"/>
          <w:szCs w:val="28"/>
        </w:rPr>
        <w:t xml:space="preserve">ам</w:t>
      </w:r>
      <w:r>
        <w:rPr>
          <w:rFonts w:ascii="PT Astra Serif" w:hAnsi="PT Astra Serif" w:cs="Times New Roman"/>
          <w:sz w:val="28"/>
          <w:szCs w:val="28"/>
        </w:rPr>
        <w:t xml:space="preserve">,</w:t>
      </w:r>
      <w:r>
        <w:rPr>
          <w:rFonts w:ascii="PT Astra Serif" w:hAnsi="PT Astra Serif"/>
          <w:sz w:val="28"/>
          <w:szCs w:val="28"/>
        </w:rPr>
        <w:t xml:space="preserve"> 15</w:t>
      </w:r>
      <w:r>
        <w:rPr>
          <w:rFonts w:ascii="PT Astra Serif" w:hAnsi="PT Astra Serif"/>
          <w:sz w:val="28"/>
          <w:szCs w:val="28"/>
        </w:rPr>
        <w:t xml:space="preserve"> юридическ</w:t>
      </w:r>
      <w:r>
        <w:rPr>
          <w:rFonts w:ascii="PT Astra Serif" w:hAnsi="PT Astra Serif"/>
          <w:sz w:val="28"/>
          <w:szCs w:val="28"/>
        </w:rPr>
        <w:t xml:space="preserve">им</w:t>
      </w:r>
      <w:r>
        <w:rPr>
          <w:rFonts w:ascii="PT Astra Serif" w:hAnsi="PT Astra Serif"/>
          <w:sz w:val="28"/>
          <w:szCs w:val="28"/>
        </w:rPr>
        <w:t xml:space="preserve"> лиц</w:t>
      </w:r>
      <w:r>
        <w:rPr>
          <w:rFonts w:ascii="PT Astra Serif" w:hAnsi="PT Astra Serif"/>
          <w:sz w:val="28"/>
          <w:szCs w:val="28"/>
        </w:rPr>
        <w:t xml:space="preserve">ам</w:t>
      </w:r>
      <w:r>
        <w:rPr>
          <w:rFonts w:ascii="PT Astra Serif" w:hAnsi="PT Astra Serif"/>
          <w:sz w:val="28"/>
          <w:szCs w:val="28"/>
        </w:rPr>
        <w:t xml:space="preserve">)</w:t>
      </w:r>
      <w:r>
        <w:rPr>
          <w:rFonts w:ascii="PT Astra Serif" w:hAnsi="PT Astra Serif"/>
          <w:sz w:val="28"/>
          <w:szCs w:val="28"/>
        </w:rPr>
        <w:t xml:space="preserve">.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ind w:firstLine="708"/>
        <w:jc w:val="both"/>
        <w:spacing w:after="0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</w:rPr>
        <w:t xml:space="preserve">Административное нак</w:t>
      </w:r>
      <w:r>
        <w:rPr>
          <w:rFonts w:ascii="PT Astra Serif" w:hAnsi="PT Astra Serif"/>
          <w:sz w:val="28"/>
          <w:szCs w:val="28"/>
        </w:rPr>
        <w:t xml:space="preserve">азание в виде штрафа </w:t>
      </w:r>
      <w:r>
        <w:rPr>
          <w:rFonts w:ascii="PT Astra Serif" w:hAnsi="PT Astra Serif"/>
          <w:sz w:val="28"/>
          <w:szCs w:val="28"/>
        </w:rPr>
        <w:t xml:space="preserve">назначено 420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лицам </w:t>
      </w:r>
      <w:r>
        <w:rPr>
          <w:rFonts w:ascii="PT Astra Serif" w:hAnsi="PT Astra Serif"/>
          <w:sz w:val="28"/>
          <w:szCs w:val="28"/>
        </w:rPr>
        <w:t xml:space="preserve">(407</w:t>
      </w:r>
      <w:r>
        <w:rPr>
          <w:rFonts w:ascii="PT Astra Serif" w:hAnsi="PT Astra Serif"/>
          <w:sz w:val="28"/>
          <w:szCs w:val="28"/>
        </w:rPr>
        <w:t xml:space="preserve"> </w:t>
      </w:r>
      <w:r>
        <w:rPr>
          <w:rFonts w:ascii="PT Astra Serif" w:hAnsi="PT Astra Serif"/>
          <w:sz w:val="28"/>
          <w:szCs w:val="28"/>
        </w:rPr>
        <w:t xml:space="preserve">граждан</w:t>
      </w:r>
      <w:r>
        <w:rPr>
          <w:rFonts w:ascii="PT Astra Serif" w:hAnsi="PT Astra Serif"/>
          <w:sz w:val="28"/>
          <w:szCs w:val="28"/>
        </w:rPr>
        <w:t xml:space="preserve">ам</w:t>
      </w:r>
      <w:r>
        <w:rPr>
          <w:rFonts w:ascii="PT Astra Serif" w:hAnsi="PT Astra Serif"/>
          <w:sz w:val="28"/>
          <w:szCs w:val="28"/>
        </w:rPr>
        <w:t xml:space="preserve">, 7</w:t>
      </w:r>
      <w:r>
        <w:rPr>
          <w:rFonts w:ascii="PT Astra Serif" w:hAnsi="PT Astra Serif"/>
          <w:sz w:val="28"/>
          <w:szCs w:val="28"/>
        </w:rPr>
        <w:t xml:space="preserve"> должностны</w:t>
      </w:r>
      <w:r>
        <w:rPr>
          <w:rFonts w:ascii="PT Astra Serif" w:hAnsi="PT Astra Serif"/>
          <w:sz w:val="28"/>
          <w:szCs w:val="28"/>
        </w:rPr>
        <w:t xml:space="preserve">м</w:t>
      </w:r>
      <w:r>
        <w:rPr>
          <w:rFonts w:ascii="PT Astra Serif" w:hAnsi="PT Astra Serif"/>
          <w:sz w:val="28"/>
          <w:szCs w:val="28"/>
        </w:rPr>
        <w:t xml:space="preserve"> лиц</w:t>
      </w:r>
      <w:r>
        <w:rPr>
          <w:rFonts w:ascii="PT Astra Serif" w:hAnsi="PT Astra Serif"/>
          <w:sz w:val="28"/>
          <w:szCs w:val="28"/>
        </w:rPr>
        <w:t xml:space="preserve">а</w:t>
      </w:r>
      <w:r>
        <w:rPr>
          <w:rFonts w:ascii="PT Astra Serif" w:hAnsi="PT Astra Serif"/>
          <w:sz w:val="28"/>
          <w:szCs w:val="28"/>
        </w:rPr>
        <w:t xml:space="preserve">м</w:t>
      </w:r>
      <w:r>
        <w:rPr>
          <w:rFonts w:ascii="PT Astra Serif" w:hAnsi="PT Astra Serif"/>
          <w:sz w:val="28"/>
          <w:szCs w:val="28"/>
        </w:rPr>
        <w:t xml:space="preserve">, 6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юридическим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лицам</w:t>
      </w:r>
      <w:r>
        <w:rPr>
          <w:rFonts w:ascii="PT Astra Serif" w:hAnsi="PT Astra Serif"/>
          <w:sz w:val="28"/>
          <w:szCs w:val="28"/>
        </w:rPr>
        <w:t xml:space="preserve">)</w:t>
      </w:r>
      <w:r>
        <w:rPr>
          <w:rFonts w:ascii="PT Astra Serif" w:hAnsi="PT Astra Serif"/>
          <w:sz w:val="28"/>
          <w:szCs w:val="28"/>
        </w:rPr>
        <w:t xml:space="preserve">.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Сумма штрафов, наложенных </w:t>
      </w:r>
      <w:r>
        <w:rPr>
          <w:rFonts w:ascii="PT Astra Serif" w:hAnsi="PT Astra Serif"/>
          <w:sz w:val="28"/>
          <w:szCs w:val="28"/>
        </w:rPr>
        <w:t xml:space="preserve">административными комиссиями на </w:t>
      </w:r>
      <w:r>
        <w:rPr>
          <w:rFonts w:ascii="PT Astra Serif" w:hAnsi="PT Astra Serif"/>
          <w:sz w:val="28"/>
          <w:szCs w:val="28"/>
        </w:rPr>
        <w:t xml:space="preserve">правонарушителей </w:t>
      </w:r>
      <w:r>
        <w:rPr>
          <w:rFonts w:ascii="PT Astra Serif" w:hAnsi="PT Astra Serif"/>
          <w:sz w:val="28"/>
          <w:szCs w:val="28"/>
        </w:rPr>
        <w:t xml:space="preserve">за 1 квартал </w:t>
      </w:r>
      <w:r>
        <w:rPr>
          <w:rFonts w:ascii="PT Astra Serif" w:hAnsi="PT Astra Serif"/>
          <w:sz w:val="28"/>
          <w:szCs w:val="28"/>
        </w:rPr>
        <w:t xml:space="preserve">2026</w:t>
      </w:r>
      <w:r>
        <w:rPr>
          <w:rFonts w:ascii="PT Astra Serif" w:hAnsi="PT Astra Serif"/>
          <w:sz w:val="28"/>
          <w:szCs w:val="28"/>
        </w:rPr>
        <w:t xml:space="preserve"> года</w:t>
      </w:r>
      <w:r>
        <w:rPr>
          <w:rFonts w:ascii="PT Astra Serif" w:hAnsi="PT Astra Serif"/>
          <w:sz w:val="28"/>
          <w:szCs w:val="28"/>
        </w:rPr>
        <w:t xml:space="preserve">, составила 1 289 800,00</w:t>
      </w:r>
      <w:r>
        <w:rPr>
          <w:rFonts w:ascii="PT Astra Serif" w:hAnsi="PT Astra Serif"/>
          <w:sz w:val="28"/>
          <w:szCs w:val="28"/>
        </w:rPr>
        <w:t xml:space="preserve"> руб</w:t>
      </w:r>
      <w:r>
        <w:rPr>
          <w:rFonts w:ascii="PT Astra Serif" w:hAnsi="PT Astra Serif"/>
          <w:sz w:val="28"/>
          <w:szCs w:val="28"/>
        </w:rPr>
        <w:t xml:space="preserve">. (из </w:t>
      </w:r>
      <w:r>
        <w:rPr>
          <w:rFonts w:ascii="PT Astra Serif" w:hAnsi="PT Astra Serif"/>
          <w:sz w:val="28"/>
          <w:szCs w:val="28"/>
        </w:rPr>
        <w:t xml:space="preserve">них 855 200,00 </w:t>
      </w:r>
      <w:r>
        <w:rPr>
          <w:rFonts w:ascii="PT Astra Serif" w:hAnsi="PT Astra Serif"/>
          <w:sz w:val="28"/>
          <w:szCs w:val="28"/>
        </w:rPr>
        <w:t xml:space="preserve">руб. приходится на областной центр)</w:t>
      </w:r>
      <w:r>
        <w:rPr>
          <w:rFonts w:ascii="PT Astra Serif" w:hAnsi="PT Astra Serif"/>
          <w:sz w:val="28"/>
          <w:szCs w:val="28"/>
        </w:rPr>
        <w:t xml:space="preserve">.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851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Courier New">
    <w:panose1 w:val="02070409020205020404"/>
  </w:font>
  <w:font w:name="Wingdings">
    <w:panose1 w:val="05010000000000000000"/>
  </w:font>
  <w:font w:name="Segoe UI">
    <w:panose1 w:val="020B050204050402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8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  <w:num w:numId="3">
    <w:abstractNumId w:val="1"/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7">
    <w:name w:val="Heading 1"/>
    <w:basedOn w:val="844"/>
    <w:next w:val="844"/>
    <w:link w:val="66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8">
    <w:name w:val="Heading 1 Char"/>
    <w:basedOn w:val="845"/>
    <w:link w:val="667"/>
    <w:uiPriority w:val="9"/>
    <w:rPr>
      <w:rFonts w:ascii="Arial" w:hAnsi="Arial" w:eastAsia="Arial" w:cs="Arial"/>
      <w:sz w:val="40"/>
      <w:szCs w:val="40"/>
    </w:rPr>
  </w:style>
  <w:style w:type="paragraph" w:styleId="669">
    <w:name w:val="Heading 2"/>
    <w:basedOn w:val="844"/>
    <w:next w:val="844"/>
    <w:link w:val="67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0">
    <w:name w:val="Heading 2 Char"/>
    <w:basedOn w:val="845"/>
    <w:link w:val="669"/>
    <w:uiPriority w:val="9"/>
    <w:rPr>
      <w:rFonts w:ascii="Arial" w:hAnsi="Arial" w:eastAsia="Arial" w:cs="Arial"/>
      <w:sz w:val="34"/>
    </w:rPr>
  </w:style>
  <w:style w:type="paragraph" w:styleId="671">
    <w:name w:val="Heading 3"/>
    <w:basedOn w:val="844"/>
    <w:next w:val="844"/>
    <w:link w:val="67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2">
    <w:name w:val="Heading 3 Char"/>
    <w:basedOn w:val="845"/>
    <w:link w:val="671"/>
    <w:uiPriority w:val="9"/>
    <w:rPr>
      <w:rFonts w:ascii="Arial" w:hAnsi="Arial" w:eastAsia="Arial" w:cs="Arial"/>
      <w:sz w:val="30"/>
      <w:szCs w:val="30"/>
    </w:rPr>
  </w:style>
  <w:style w:type="paragraph" w:styleId="673">
    <w:name w:val="Heading 4"/>
    <w:basedOn w:val="844"/>
    <w:next w:val="844"/>
    <w:link w:val="67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4">
    <w:name w:val="Heading 4 Char"/>
    <w:basedOn w:val="845"/>
    <w:link w:val="673"/>
    <w:uiPriority w:val="9"/>
    <w:rPr>
      <w:rFonts w:ascii="Arial" w:hAnsi="Arial" w:eastAsia="Arial" w:cs="Arial"/>
      <w:b/>
      <w:bCs/>
      <w:sz w:val="26"/>
      <w:szCs w:val="26"/>
    </w:rPr>
  </w:style>
  <w:style w:type="paragraph" w:styleId="675">
    <w:name w:val="Heading 5"/>
    <w:basedOn w:val="844"/>
    <w:next w:val="844"/>
    <w:link w:val="67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6">
    <w:name w:val="Heading 5 Char"/>
    <w:basedOn w:val="845"/>
    <w:link w:val="675"/>
    <w:uiPriority w:val="9"/>
    <w:rPr>
      <w:rFonts w:ascii="Arial" w:hAnsi="Arial" w:eastAsia="Arial" w:cs="Arial"/>
      <w:b/>
      <w:bCs/>
      <w:sz w:val="24"/>
      <w:szCs w:val="24"/>
    </w:rPr>
  </w:style>
  <w:style w:type="paragraph" w:styleId="677">
    <w:name w:val="Heading 6"/>
    <w:basedOn w:val="844"/>
    <w:next w:val="844"/>
    <w:link w:val="67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8">
    <w:name w:val="Heading 6 Char"/>
    <w:basedOn w:val="845"/>
    <w:link w:val="677"/>
    <w:uiPriority w:val="9"/>
    <w:rPr>
      <w:rFonts w:ascii="Arial" w:hAnsi="Arial" w:eastAsia="Arial" w:cs="Arial"/>
      <w:b/>
      <w:bCs/>
      <w:sz w:val="22"/>
      <w:szCs w:val="22"/>
    </w:rPr>
  </w:style>
  <w:style w:type="paragraph" w:styleId="679">
    <w:name w:val="Heading 7"/>
    <w:basedOn w:val="844"/>
    <w:next w:val="844"/>
    <w:link w:val="68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0">
    <w:name w:val="Heading 7 Char"/>
    <w:basedOn w:val="845"/>
    <w:link w:val="6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1">
    <w:name w:val="Heading 8"/>
    <w:basedOn w:val="844"/>
    <w:next w:val="844"/>
    <w:link w:val="68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2">
    <w:name w:val="Heading 8 Char"/>
    <w:basedOn w:val="845"/>
    <w:link w:val="681"/>
    <w:uiPriority w:val="9"/>
    <w:rPr>
      <w:rFonts w:ascii="Arial" w:hAnsi="Arial" w:eastAsia="Arial" w:cs="Arial"/>
      <w:i/>
      <w:iCs/>
      <w:sz w:val="22"/>
      <w:szCs w:val="22"/>
    </w:rPr>
  </w:style>
  <w:style w:type="paragraph" w:styleId="683">
    <w:name w:val="Heading 9"/>
    <w:basedOn w:val="844"/>
    <w:next w:val="844"/>
    <w:link w:val="68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4">
    <w:name w:val="Heading 9 Char"/>
    <w:basedOn w:val="845"/>
    <w:link w:val="683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No Spacing"/>
    <w:uiPriority w:val="1"/>
    <w:qFormat/>
    <w:pPr>
      <w:spacing w:before="0" w:after="0" w:line="240" w:lineRule="auto"/>
    </w:pPr>
  </w:style>
  <w:style w:type="paragraph" w:styleId="686">
    <w:name w:val="Title"/>
    <w:basedOn w:val="844"/>
    <w:next w:val="844"/>
    <w:link w:val="68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7">
    <w:name w:val="Title Char"/>
    <w:basedOn w:val="845"/>
    <w:link w:val="686"/>
    <w:uiPriority w:val="10"/>
    <w:rPr>
      <w:sz w:val="48"/>
      <w:szCs w:val="48"/>
    </w:rPr>
  </w:style>
  <w:style w:type="paragraph" w:styleId="688">
    <w:name w:val="Subtitle"/>
    <w:basedOn w:val="844"/>
    <w:next w:val="844"/>
    <w:link w:val="689"/>
    <w:uiPriority w:val="11"/>
    <w:qFormat/>
    <w:pPr>
      <w:spacing w:before="200" w:after="200"/>
    </w:pPr>
    <w:rPr>
      <w:sz w:val="24"/>
      <w:szCs w:val="24"/>
    </w:rPr>
  </w:style>
  <w:style w:type="character" w:styleId="689">
    <w:name w:val="Subtitle Char"/>
    <w:basedOn w:val="845"/>
    <w:link w:val="688"/>
    <w:uiPriority w:val="11"/>
    <w:rPr>
      <w:sz w:val="24"/>
      <w:szCs w:val="24"/>
    </w:rPr>
  </w:style>
  <w:style w:type="paragraph" w:styleId="690">
    <w:name w:val="Quote"/>
    <w:basedOn w:val="844"/>
    <w:next w:val="844"/>
    <w:link w:val="691"/>
    <w:uiPriority w:val="29"/>
    <w:qFormat/>
    <w:pPr>
      <w:ind w:left="720" w:right="720"/>
    </w:pPr>
    <w:rPr>
      <w:i/>
    </w:rPr>
  </w:style>
  <w:style w:type="character" w:styleId="691">
    <w:name w:val="Quote Char"/>
    <w:link w:val="690"/>
    <w:uiPriority w:val="29"/>
    <w:rPr>
      <w:i/>
    </w:rPr>
  </w:style>
  <w:style w:type="paragraph" w:styleId="692">
    <w:name w:val="Intense Quote"/>
    <w:basedOn w:val="844"/>
    <w:next w:val="844"/>
    <w:link w:val="69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3">
    <w:name w:val="Intense Quote Char"/>
    <w:link w:val="692"/>
    <w:uiPriority w:val="30"/>
    <w:rPr>
      <w:i/>
    </w:rPr>
  </w:style>
  <w:style w:type="paragraph" w:styleId="694">
    <w:name w:val="Header"/>
    <w:basedOn w:val="844"/>
    <w:link w:val="69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5">
    <w:name w:val="Header Char"/>
    <w:basedOn w:val="845"/>
    <w:link w:val="694"/>
    <w:uiPriority w:val="99"/>
  </w:style>
  <w:style w:type="paragraph" w:styleId="696">
    <w:name w:val="Footer"/>
    <w:basedOn w:val="844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>
    <w:name w:val="Footer Char"/>
    <w:basedOn w:val="845"/>
    <w:link w:val="696"/>
    <w:uiPriority w:val="99"/>
  </w:style>
  <w:style w:type="paragraph" w:styleId="698">
    <w:name w:val="Caption"/>
    <w:basedOn w:val="844"/>
    <w:next w:val="844"/>
    <w:link w:val="69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9">
    <w:name w:val="Caption Char"/>
    <w:basedOn w:val="845"/>
    <w:link w:val="698"/>
    <w:uiPriority w:val="35"/>
    <w:rPr>
      <w:b/>
      <w:bCs/>
      <w:color w:val="4f81bd" w:themeColor="accent1"/>
      <w:sz w:val="18"/>
      <w:szCs w:val="18"/>
    </w:rPr>
  </w:style>
  <w:style w:type="table" w:styleId="700">
    <w:name w:val="Table Grid"/>
    <w:basedOn w:val="84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1">
    <w:name w:val="Table Grid Light"/>
    <w:basedOn w:val="84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2">
    <w:name w:val="Plain Table 1"/>
    <w:basedOn w:val="84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basedOn w:val="84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>
    <w:name w:val="Grid Table 4 - Accent 1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0">
    <w:name w:val="Grid Table 4 - Accent 2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1">
    <w:name w:val="Grid Table 4 - Accent 3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2">
    <w:name w:val="Grid Table 4 - Accent 4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3">
    <w:name w:val="Grid Table 4 - Accent 5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4">
    <w:name w:val="Grid Table 4 - Accent 6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5">
    <w:name w:val="Grid Table 5 Dark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9">
    <w:name w:val="Grid Table 5 Dark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2">
    <w:name w:val="Grid Table 6 Colorful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3">
    <w:name w:val="Grid Table 6 Colorful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4">
    <w:name w:val="Grid Table 6 Colorful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5">
    <w:name w:val="Grid Table 6 Colorful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6">
    <w:name w:val="Grid Table 6 Colorful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7">
    <w:name w:val="Grid Table 6 Colorful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8">
    <w:name w:val="Grid Table 6 Colorful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9">
    <w:name w:val="Grid Table 7 Colorful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4">
    <w:name w:val="List Table 2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5">
    <w:name w:val="List Table 2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6">
    <w:name w:val="List Table 2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7">
    <w:name w:val="List Table 2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8">
    <w:name w:val="List Table 2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9">
    <w:name w:val="List Table 2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6 Colorful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2">
    <w:name w:val="List Table 6 Colorful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3">
    <w:name w:val="List Table 6 Colorful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4">
    <w:name w:val="List Table 6 Colorful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5">
    <w:name w:val="List Table 6 Colorful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6">
    <w:name w:val="List Table 6 Colorful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7">
    <w:name w:val="List Table 6 Colorful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8">
    <w:name w:val="List Table 7 Colorful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9">
    <w:name w:val="List Table 7 Colorful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0">
    <w:name w:val="List Table 7 Colorful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1">
    <w:name w:val="List Table 7 Colorful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2">
    <w:name w:val="List Table 7 Colorful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3">
    <w:name w:val="List Table 7 Colorful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4">
    <w:name w:val="List Table 7 Colorful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5">
    <w:name w:val="Lined - Accent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6">
    <w:name w:val="Lined - Accent 1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7">
    <w:name w:val="Lined - Accent 2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8">
    <w:name w:val="Lined - Accent 3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9">
    <w:name w:val="Lined - Accent 4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0">
    <w:name w:val="Lined - Accent 5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1">
    <w:name w:val="Lined - Accent 6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2">
    <w:name w:val="Bordered &amp; Lined - Accent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3">
    <w:name w:val="Bordered &amp; Lined - Accent 1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4">
    <w:name w:val="Bordered &amp; Lined - Accent 2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5">
    <w:name w:val="Bordered &amp; Lined - Accent 3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6">
    <w:name w:val="Bordered &amp; Lined - Accent 4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7">
    <w:name w:val="Bordered &amp; Lined - Accent 5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8">
    <w:name w:val="Bordered &amp; Lined - Accent 6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9">
    <w:name w:val="Bordered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0">
    <w:name w:val="Bordered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1">
    <w:name w:val="Bordered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2">
    <w:name w:val="Bordered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3">
    <w:name w:val="Bordered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4">
    <w:name w:val="Bordered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5">
    <w:name w:val="Bordered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6">
    <w:name w:val="Hyperlink"/>
    <w:uiPriority w:val="99"/>
    <w:unhideWhenUsed/>
    <w:rPr>
      <w:color w:val="0000ff" w:themeColor="hyperlink"/>
      <w:u w:val="single"/>
    </w:rPr>
  </w:style>
  <w:style w:type="paragraph" w:styleId="827">
    <w:name w:val="footnote text"/>
    <w:basedOn w:val="844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>
    <w:name w:val="Footnote Text Char"/>
    <w:link w:val="827"/>
    <w:uiPriority w:val="99"/>
    <w:rPr>
      <w:sz w:val="18"/>
    </w:rPr>
  </w:style>
  <w:style w:type="character" w:styleId="829">
    <w:name w:val="footnote reference"/>
    <w:basedOn w:val="845"/>
    <w:uiPriority w:val="99"/>
    <w:unhideWhenUsed/>
    <w:rPr>
      <w:vertAlign w:val="superscript"/>
    </w:rPr>
  </w:style>
  <w:style w:type="paragraph" w:styleId="830">
    <w:name w:val="endnote text"/>
    <w:basedOn w:val="844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>
    <w:name w:val="Endnote Text Char"/>
    <w:link w:val="830"/>
    <w:uiPriority w:val="99"/>
    <w:rPr>
      <w:sz w:val="20"/>
    </w:rPr>
  </w:style>
  <w:style w:type="character" w:styleId="832">
    <w:name w:val="endnote reference"/>
    <w:basedOn w:val="845"/>
    <w:uiPriority w:val="99"/>
    <w:semiHidden/>
    <w:unhideWhenUsed/>
    <w:rPr>
      <w:vertAlign w:val="superscript"/>
    </w:rPr>
  </w:style>
  <w:style w:type="paragraph" w:styleId="833">
    <w:name w:val="toc 1"/>
    <w:basedOn w:val="844"/>
    <w:next w:val="844"/>
    <w:uiPriority w:val="39"/>
    <w:unhideWhenUsed/>
    <w:pPr>
      <w:ind w:left="0" w:right="0" w:firstLine="0"/>
      <w:spacing w:after="57"/>
    </w:pPr>
  </w:style>
  <w:style w:type="paragraph" w:styleId="834">
    <w:name w:val="toc 2"/>
    <w:basedOn w:val="844"/>
    <w:next w:val="844"/>
    <w:uiPriority w:val="39"/>
    <w:unhideWhenUsed/>
    <w:pPr>
      <w:ind w:left="283" w:right="0" w:firstLine="0"/>
      <w:spacing w:after="57"/>
    </w:pPr>
  </w:style>
  <w:style w:type="paragraph" w:styleId="835">
    <w:name w:val="toc 3"/>
    <w:basedOn w:val="844"/>
    <w:next w:val="844"/>
    <w:uiPriority w:val="39"/>
    <w:unhideWhenUsed/>
    <w:pPr>
      <w:ind w:left="567" w:right="0" w:firstLine="0"/>
      <w:spacing w:after="57"/>
    </w:pPr>
  </w:style>
  <w:style w:type="paragraph" w:styleId="836">
    <w:name w:val="toc 4"/>
    <w:basedOn w:val="844"/>
    <w:next w:val="844"/>
    <w:uiPriority w:val="39"/>
    <w:unhideWhenUsed/>
    <w:pPr>
      <w:ind w:left="850" w:right="0" w:firstLine="0"/>
      <w:spacing w:after="57"/>
    </w:pPr>
  </w:style>
  <w:style w:type="paragraph" w:styleId="837">
    <w:name w:val="toc 5"/>
    <w:basedOn w:val="844"/>
    <w:next w:val="844"/>
    <w:uiPriority w:val="39"/>
    <w:unhideWhenUsed/>
    <w:pPr>
      <w:ind w:left="1134" w:right="0" w:firstLine="0"/>
      <w:spacing w:after="57"/>
    </w:pPr>
  </w:style>
  <w:style w:type="paragraph" w:styleId="838">
    <w:name w:val="toc 6"/>
    <w:basedOn w:val="844"/>
    <w:next w:val="844"/>
    <w:uiPriority w:val="39"/>
    <w:unhideWhenUsed/>
    <w:pPr>
      <w:ind w:left="1417" w:right="0" w:firstLine="0"/>
      <w:spacing w:after="57"/>
    </w:pPr>
  </w:style>
  <w:style w:type="paragraph" w:styleId="839">
    <w:name w:val="toc 7"/>
    <w:basedOn w:val="844"/>
    <w:next w:val="844"/>
    <w:uiPriority w:val="39"/>
    <w:unhideWhenUsed/>
    <w:pPr>
      <w:ind w:left="1701" w:right="0" w:firstLine="0"/>
      <w:spacing w:after="57"/>
    </w:pPr>
  </w:style>
  <w:style w:type="paragraph" w:styleId="840">
    <w:name w:val="toc 8"/>
    <w:basedOn w:val="844"/>
    <w:next w:val="844"/>
    <w:uiPriority w:val="39"/>
    <w:unhideWhenUsed/>
    <w:pPr>
      <w:ind w:left="1984" w:right="0" w:firstLine="0"/>
      <w:spacing w:after="57"/>
    </w:pPr>
  </w:style>
  <w:style w:type="paragraph" w:styleId="841">
    <w:name w:val="toc 9"/>
    <w:basedOn w:val="844"/>
    <w:next w:val="844"/>
    <w:uiPriority w:val="39"/>
    <w:unhideWhenUsed/>
    <w:pPr>
      <w:ind w:left="2268" w:right="0" w:firstLine="0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844"/>
    <w:next w:val="844"/>
    <w:uiPriority w:val="99"/>
    <w:unhideWhenUsed/>
    <w:pPr>
      <w:spacing w:after="0" w:afterAutospacing="0"/>
    </w:pPr>
  </w:style>
  <w:style w:type="paragraph" w:styleId="844" w:default="1">
    <w:name w:val="Normal"/>
    <w:qFormat/>
  </w:style>
  <w:style w:type="character" w:styleId="845" w:default="1">
    <w:name w:val="Default Paragraph Font"/>
    <w:uiPriority w:val="1"/>
    <w:semiHidden/>
    <w:unhideWhenUsed/>
  </w:style>
  <w:style w:type="table" w:styleId="84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7" w:default="1">
    <w:name w:val="No List"/>
    <w:uiPriority w:val="99"/>
    <w:semiHidden/>
    <w:unhideWhenUsed/>
  </w:style>
  <w:style w:type="paragraph" w:styleId="848">
    <w:name w:val="List Paragraph"/>
    <w:basedOn w:val="844"/>
    <w:uiPriority w:val="34"/>
    <w:qFormat/>
    <w:pPr>
      <w:contextualSpacing/>
      <w:ind w:left="720"/>
    </w:pPr>
  </w:style>
  <w:style w:type="paragraph" w:styleId="849">
    <w:name w:val="Normal (Web)"/>
    <w:basedOn w:val="844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50">
    <w:name w:val="Balloon Text"/>
    <w:basedOn w:val="844"/>
    <w:link w:val="85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1" w:customStyle="1">
    <w:name w:val="Текст выноски Знак"/>
    <w:basedOn w:val="845"/>
    <w:link w:val="850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67FE09-35E9-4BDF-B419-37761349E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Николаевна Семенчукова</dc:creator>
  <cp:lastModifiedBy>osipchukas@ato.gov70.ru</cp:lastModifiedBy>
  <cp:revision>77</cp:revision>
  <dcterms:created xsi:type="dcterms:W3CDTF">2024-12-17T09:51:00Z</dcterms:created>
  <dcterms:modified xsi:type="dcterms:W3CDTF">2026-05-14T10:05:54Z</dcterms:modified>
</cp:coreProperties>
</file>